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1248A4">
        <w:t>rugsėjo</w:t>
      </w:r>
      <w:r w:rsidR="008C59C7" w:rsidRPr="005802DF">
        <w:t xml:space="preserve"> </w:t>
      </w:r>
      <w:r w:rsidR="001248A4">
        <w:t>10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1248A4" w:rsidRPr="00CB196D">
          <w:rPr>
            <w:rStyle w:val="Hipersaitas"/>
            <w:i/>
          </w:rPr>
          <w:t>edgaras.vicius@bvilniausenergija.lt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13867" w:rsidRDefault="001248A4" w:rsidP="0039604D">
      <w:pPr>
        <w:jc w:val="both"/>
        <w:rPr>
          <w:i/>
        </w:rPr>
      </w:pPr>
      <w:bookmarkStart w:id="0" w:name="_GoBack"/>
      <w:r>
        <w:rPr>
          <w:i/>
        </w:rPr>
        <w:t>Automobilių svėrimo svarstyklių remonto</w:t>
      </w:r>
      <w:r w:rsidR="007A2E18">
        <w:rPr>
          <w:i/>
        </w:rPr>
        <w:t xml:space="preserve"> paslauga.</w:t>
      </w:r>
    </w:p>
    <w:bookmarkEnd w:id="0"/>
    <w:p w:rsidR="008034FD" w:rsidRPr="005802DF" w:rsidRDefault="008034FD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 w:rsidR="001248A4">
        <w:rPr>
          <w:i/>
        </w:rPr>
        <w:t>Biržų šiluma</w:t>
      </w:r>
      <w:r w:rsidRPr="005802DF">
        <w:rPr>
          <w:i/>
        </w:rPr>
        <w:t>).</w:t>
      </w:r>
    </w:p>
    <w:p w:rsidR="008034FD" w:rsidRPr="005802DF" w:rsidRDefault="008034FD" w:rsidP="008034FD">
      <w:pPr>
        <w:jc w:val="both"/>
        <w:rPr>
          <w:i/>
        </w:rPr>
      </w:pPr>
    </w:p>
    <w:p w:rsidR="001248A4" w:rsidRDefault="001248A4" w:rsidP="001248A4">
      <w:pPr>
        <w:jc w:val="both"/>
        <w:rPr>
          <w:i/>
        </w:rPr>
      </w:pPr>
      <w:r>
        <w:rPr>
          <w:i/>
        </w:rPr>
        <w:t>Automobilių svėrimo svarstyklių remonto paslauga.</w:t>
      </w:r>
    </w:p>
    <w:p w:rsidR="008034FD" w:rsidRPr="005802DF" w:rsidRDefault="008034FD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548F7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1248A4" w:rsidP="0039604D">
      <w:pPr>
        <w:jc w:val="both"/>
        <w:rPr>
          <w:i/>
        </w:rPr>
      </w:pPr>
      <w:r>
        <w:rPr>
          <w:i/>
        </w:rPr>
        <w:t>2015-09</w:t>
      </w:r>
      <w:r w:rsidR="008C59C7" w:rsidRPr="005802DF">
        <w:rPr>
          <w:i/>
        </w:rPr>
        <w:t>-</w:t>
      </w:r>
      <w:r>
        <w:rPr>
          <w:i/>
        </w:rPr>
        <w:t>10</w:t>
      </w:r>
      <w:r w:rsidR="007A2E18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7A2E18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248A4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A2E18"/>
    <w:rsid w:val="007F5464"/>
    <w:rsid w:val="008034FD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DF5CA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b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2015-09-10T06:50:00Z</dcterms:created>
  <dcterms:modified xsi:type="dcterms:W3CDTF">2015-09-10T06:50:00Z</dcterms:modified>
</cp:coreProperties>
</file>